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rPr>
          <w:rFonts w:hint="eastAsia" w:ascii="宋体" w:hAnsi="宋体" w:cs="宋体"/>
          <w:bCs/>
          <w:sz w:val="20"/>
          <w:lang w:eastAsia="zh-CN"/>
        </w:rPr>
      </w:pPr>
      <w:r>
        <w:rPr>
          <w:rFonts w:hint="eastAsia" w:ascii="宋体" w:hAnsi="宋体" w:cs="宋体"/>
          <w:bCs/>
          <w:sz w:val="20"/>
        </w:rPr>
        <w:t>评估项目：</w:t>
      </w:r>
      <w:r>
        <w:rPr>
          <w:rFonts w:hint="eastAsia" w:ascii="宋体" w:hAnsi="宋体" w:cs="宋体"/>
          <w:bCs/>
          <w:sz w:val="20"/>
          <w:lang w:eastAsia="zh-CN"/>
        </w:rPr>
        <w:t>澳大利亚中煤地质工程有限责任公司布里斯班房产资产评估</w:t>
      </w:r>
    </w:p>
    <w:p>
      <w:pPr>
        <w:rPr>
          <w:rFonts w:ascii="宋体" w:hAnsi="宋体" w:cs="宋体"/>
          <w:bCs/>
          <w:sz w:val="20"/>
        </w:rPr>
      </w:pPr>
      <w:r>
        <w:rPr>
          <w:rFonts w:hint="eastAsia" w:ascii="宋体" w:hAnsi="宋体" w:cs="宋体"/>
          <w:bCs/>
          <w:sz w:val="20"/>
        </w:rPr>
        <w:t>公示期限：20</w:t>
      </w:r>
      <w:r>
        <w:rPr>
          <w:rFonts w:hint="eastAsia" w:ascii="宋体" w:hAnsi="宋体" w:cs="宋体"/>
          <w:bCs/>
          <w:sz w:val="20"/>
          <w:lang w:val="en-US" w:eastAsia="zh-CN"/>
        </w:rPr>
        <w:t>21</w:t>
      </w:r>
      <w:r>
        <w:rPr>
          <w:rFonts w:hint="eastAsia" w:ascii="宋体" w:hAnsi="宋体" w:cs="宋体"/>
          <w:bCs/>
          <w:sz w:val="20"/>
        </w:rPr>
        <w:t>年</w:t>
      </w:r>
      <w:r>
        <w:rPr>
          <w:rFonts w:hint="eastAsia" w:ascii="宋体" w:hAnsi="宋体" w:cs="宋体"/>
          <w:bCs/>
          <w:sz w:val="20"/>
          <w:lang w:val="en-US" w:eastAsia="zh-CN"/>
        </w:rPr>
        <w:t>12</w:t>
      </w:r>
      <w:r>
        <w:rPr>
          <w:rFonts w:hint="eastAsia" w:ascii="宋体" w:hAnsi="宋体" w:cs="宋体"/>
          <w:bCs/>
          <w:sz w:val="20"/>
        </w:rPr>
        <w:t>月</w:t>
      </w:r>
      <w:r>
        <w:rPr>
          <w:rFonts w:hint="eastAsia" w:ascii="宋体" w:hAnsi="宋体" w:cs="宋体"/>
          <w:bCs/>
          <w:sz w:val="20"/>
          <w:lang w:val="en-US" w:eastAsia="zh-CN"/>
        </w:rPr>
        <w:t>15</w:t>
      </w:r>
      <w:r>
        <w:rPr>
          <w:rFonts w:hint="eastAsia" w:ascii="宋体" w:hAnsi="宋体" w:cs="宋体"/>
          <w:bCs/>
          <w:sz w:val="20"/>
        </w:rPr>
        <w:t>日至20</w:t>
      </w:r>
      <w:r>
        <w:rPr>
          <w:rFonts w:hint="eastAsia" w:ascii="宋体" w:hAnsi="宋体" w:cs="宋体"/>
          <w:bCs/>
          <w:sz w:val="20"/>
          <w:lang w:val="en-US" w:eastAsia="zh-CN"/>
        </w:rPr>
        <w:t>21</w:t>
      </w:r>
      <w:r>
        <w:rPr>
          <w:rFonts w:hint="eastAsia" w:ascii="宋体" w:hAnsi="宋体" w:cs="宋体"/>
          <w:bCs/>
          <w:sz w:val="20"/>
        </w:rPr>
        <w:t>年</w:t>
      </w:r>
      <w:r>
        <w:rPr>
          <w:rFonts w:hint="eastAsia" w:ascii="宋体" w:hAnsi="宋体" w:cs="宋体"/>
          <w:bCs/>
          <w:sz w:val="20"/>
          <w:lang w:val="en-US" w:eastAsia="zh-CN"/>
        </w:rPr>
        <w:t>12</w:t>
      </w:r>
      <w:r>
        <w:rPr>
          <w:rFonts w:hint="eastAsia" w:ascii="宋体" w:hAnsi="宋体" w:cs="宋体"/>
          <w:bCs/>
          <w:sz w:val="20"/>
        </w:rPr>
        <w:t>月</w:t>
      </w:r>
      <w:r>
        <w:rPr>
          <w:rFonts w:hint="eastAsia" w:ascii="宋体" w:hAnsi="宋体" w:cs="宋体"/>
          <w:bCs/>
          <w:sz w:val="20"/>
          <w:lang w:val="en-US" w:eastAsia="zh-CN"/>
        </w:rPr>
        <w:t>21</w:t>
      </w:r>
      <w:r>
        <w:rPr>
          <w:rFonts w:hint="eastAsia" w:ascii="宋体" w:hAnsi="宋体" w:cs="宋体"/>
          <w:bCs/>
          <w:sz w:val="20"/>
        </w:rPr>
        <w:t>日</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67"/>
        <w:gridCol w:w="1140"/>
        <w:gridCol w:w="1260"/>
        <w:gridCol w:w="1785"/>
        <w:gridCol w:w="99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2" w:type="dxa"/>
            <w:noWrap w:val="0"/>
            <w:vAlign w:val="center"/>
          </w:tcPr>
          <w:p>
            <w:pPr>
              <w:jc w:val="center"/>
              <w:rPr>
                <w:rFonts w:ascii="宋体" w:hAnsi="宋体" w:cs="宋体"/>
                <w:bCs/>
                <w:sz w:val="20"/>
              </w:rPr>
            </w:pPr>
            <w:r>
              <w:rPr>
                <w:rFonts w:hint="eastAsia" w:ascii="宋体" w:hAnsi="宋体" w:cs="宋体"/>
                <w:bCs/>
                <w:sz w:val="20"/>
              </w:rPr>
              <w:t>序号</w:t>
            </w:r>
          </w:p>
        </w:tc>
        <w:tc>
          <w:tcPr>
            <w:tcW w:w="1467" w:type="dxa"/>
            <w:noWrap w:val="0"/>
            <w:vAlign w:val="center"/>
          </w:tcPr>
          <w:p>
            <w:pPr>
              <w:jc w:val="center"/>
              <w:rPr>
                <w:rFonts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72" w:type="dxa"/>
            <w:noWrap w:val="0"/>
            <w:vAlign w:val="center"/>
          </w:tcPr>
          <w:p>
            <w:pPr>
              <w:jc w:val="center"/>
              <w:rPr>
                <w:rFonts w:ascii="宋体" w:hAnsi="宋体" w:cs="宋体"/>
                <w:bCs/>
                <w:sz w:val="20"/>
              </w:rPr>
            </w:pPr>
            <w:r>
              <w:rPr>
                <w:rFonts w:hint="eastAsia" w:ascii="宋体" w:hAnsi="宋体" w:cs="宋体"/>
                <w:bCs/>
                <w:sz w:val="20"/>
              </w:rPr>
              <w:t>1</w:t>
            </w:r>
          </w:p>
        </w:tc>
        <w:tc>
          <w:tcPr>
            <w:tcW w:w="1467" w:type="dxa"/>
            <w:noWrap w:val="0"/>
            <w:vAlign w:val="center"/>
          </w:tcPr>
          <w:p>
            <w:pPr>
              <w:jc w:val="center"/>
              <w:rPr>
                <w:rFonts w:ascii="宋体" w:hAnsi="宋体" w:cs="宋体"/>
                <w:bCs/>
                <w:sz w:val="20"/>
              </w:rPr>
            </w:pPr>
            <w:r>
              <w:rPr>
                <w:rFonts w:hint="eastAsia" w:ascii="宋体" w:hAnsi="宋体" w:cs="宋体"/>
                <w:bCs/>
                <w:sz w:val="20"/>
              </w:rPr>
              <w:t>经济行为批准</w:t>
            </w:r>
          </w:p>
          <w:p>
            <w:pPr>
              <w:jc w:val="center"/>
              <w:rPr>
                <w:rFonts w:ascii="宋体" w:hAnsi="宋体" w:cs="宋体"/>
                <w:bCs/>
                <w:sz w:val="20"/>
              </w:rPr>
            </w:pPr>
            <w:r>
              <w:rPr>
                <w:rFonts w:hint="eastAsia" w:ascii="宋体" w:hAnsi="宋体" w:cs="宋体"/>
                <w:bCs/>
                <w:sz w:val="20"/>
              </w:rPr>
              <w:t>文件</w:t>
            </w:r>
          </w:p>
        </w:tc>
        <w:tc>
          <w:tcPr>
            <w:tcW w:w="6381" w:type="dxa"/>
            <w:gridSpan w:val="5"/>
            <w:noWrap w:val="0"/>
            <w:vAlign w:val="center"/>
          </w:tcPr>
          <w:p>
            <w:pPr>
              <w:rPr>
                <w:rFonts w:ascii="宋体" w:hAnsi="宋体" w:cs="宋体"/>
                <w:bCs/>
                <w:sz w:val="20"/>
              </w:rPr>
            </w:pPr>
            <w:r>
              <w:rPr>
                <w:rFonts w:hint="eastAsia" w:ascii="宋体" w:hAnsi="宋体" w:cs="宋体"/>
                <w:bCs/>
                <w:sz w:val="20"/>
              </w:rPr>
              <w:t>《中国煤炭地质总局关于</w:t>
            </w:r>
            <w:r>
              <w:rPr>
                <w:rFonts w:hint="eastAsia" w:ascii="宋体" w:hAnsi="宋体" w:cs="宋体"/>
                <w:bCs/>
                <w:sz w:val="20"/>
                <w:lang w:eastAsia="zh-CN"/>
              </w:rPr>
              <w:t>澳大利亚中煤地质工程有限责任公司处置澳大利亚布里斯班房产</w:t>
            </w:r>
            <w:r>
              <w:rPr>
                <w:rFonts w:hint="eastAsia" w:ascii="宋体" w:hAnsi="宋体" w:cs="宋体"/>
                <w:bCs/>
                <w:sz w:val="20"/>
              </w:rPr>
              <w:t>立项的批复》(</w:t>
            </w:r>
            <w:r>
              <w:rPr>
                <w:rFonts w:hint="eastAsia" w:ascii="宋体" w:hAnsi="宋体" w:cs="宋体"/>
                <w:bCs/>
                <w:sz w:val="20"/>
                <w:lang w:val="en-US" w:eastAsia="zh-CN"/>
              </w:rPr>
              <w:t>中煤地办发规划(2021) 84号</w:t>
            </w:r>
            <w:r>
              <w:rPr>
                <w:rFonts w:hint="eastAsia" w:ascii="宋体" w:hAnsi="宋体" w:cs="宋体"/>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2" w:type="dxa"/>
            <w:noWrap w:val="0"/>
            <w:vAlign w:val="center"/>
          </w:tcPr>
          <w:p>
            <w:pPr>
              <w:jc w:val="center"/>
              <w:rPr>
                <w:rFonts w:ascii="宋体" w:hAnsi="宋体" w:cs="宋体"/>
                <w:bCs/>
                <w:sz w:val="20"/>
              </w:rPr>
            </w:pPr>
            <w:r>
              <w:rPr>
                <w:rFonts w:hint="eastAsia" w:ascii="宋体" w:hAnsi="宋体" w:cs="宋体"/>
                <w:bCs/>
                <w:sz w:val="20"/>
              </w:rPr>
              <w:t>2</w:t>
            </w:r>
          </w:p>
        </w:tc>
        <w:tc>
          <w:tcPr>
            <w:tcW w:w="1467" w:type="dxa"/>
            <w:noWrap w:val="0"/>
            <w:vAlign w:val="center"/>
          </w:tcPr>
          <w:p>
            <w:pPr>
              <w:jc w:val="center"/>
              <w:rPr>
                <w:rFonts w:ascii="宋体" w:hAnsi="宋体" w:cs="宋体"/>
                <w:bCs/>
                <w:sz w:val="20"/>
              </w:rPr>
            </w:pPr>
            <w:r>
              <w:rPr>
                <w:rFonts w:hint="eastAsia" w:ascii="宋体" w:hAnsi="宋体" w:cs="宋体"/>
                <w:bCs/>
                <w:sz w:val="20"/>
              </w:rPr>
              <w:t>评估机构选聘</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rPr>
                <w:rFonts w:ascii="宋体" w:hAnsi="宋体" w:cs="宋体"/>
                <w:bCs/>
                <w:sz w:val="20"/>
              </w:rPr>
            </w:pPr>
            <w:r>
              <w:rPr>
                <w:rFonts w:hint="eastAsia" w:ascii="宋体" w:hAnsi="宋体" w:cs="宋体"/>
                <w:bCs/>
                <w:sz w:val="20"/>
                <w:lang w:eastAsia="zh-CN"/>
              </w:rPr>
              <w:t>中煤国际投资有限公司</w:t>
            </w:r>
            <w:r>
              <w:rPr>
                <w:rFonts w:hint="eastAsia" w:ascii="宋体" w:hAnsi="宋体" w:cs="宋体"/>
                <w:bCs/>
                <w:sz w:val="20"/>
                <w:lang w:val="en-US" w:eastAsia="zh-CN"/>
              </w:rPr>
              <w:t>向总局上报聘请中介机构的请示，依据《</w:t>
            </w:r>
            <w:r>
              <w:rPr>
                <w:rFonts w:hint="eastAsia" w:ascii="宋体" w:hAnsi="宋体" w:cs="宋体"/>
                <w:bCs/>
                <w:sz w:val="20"/>
              </w:rPr>
              <w:t>中国煤炭地质总局关于</w:t>
            </w:r>
            <w:r>
              <w:rPr>
                <w:rFonts w:hint="eastAsia" w:ascii="宋体" w:hAnsi="宋体" w:cs="宋体"/>
                <w:bCs/>
                <w:sz w:val="20"/>
                <w:lang w:eastAsia="zh-CN"/>
              </w:rPr>
              <w:t>澳大利亚中煤地质工程有限责任公司处置布里斯班房产开展资产评估的批复</w:t>
            </w:r>
            <w:r>
              <w:rPr>
                <w:rFonts w:hint="eastAsia" w:ascii="宋体" w:hAnsi="宋体" w:cs="宋体"/>
                <w:bCs/>
                <w:sz w:val="20"/>
                <w:lang w:val="en-US" w:eastAsia="zh-CN"/>
              </w:rPr>
              <w:t>》</w:t>
            </w:r>
            <w:r>
              <w:rPr>
                <w:rFonts w:hint="eastAsia" w:ascii="宋体" w:hAnsi="宋体" w:cs="宋体"/>
                <w:bCs/>
                <w:sz w:val="20"/>
                <w:lang w:eastAsia="zh-CN"/>
              </w:rPr>
              <w:t>，经比选聘请澳大利亚本地中介机构</w:t>
            </w:r>
            <w:r>
              <w:rPr>
                <w:rFonts w:hint="eastAsia" w:ascii="宋体" w:hAnsi="宋体" w:cs="宋体"/>
                <w:bCs/>
                <w:sz w:val="20"/>
                <w:lang w:val="en-US" w:eastAsia="zh-CN"/>
              </w:rPr>
              <w:t>做为</w:t>
            </w:r>
            <w:r>
              <w:rPr>
                <w:rFonts w:hint="eastAsia" w:ascii="宋体" w:hAnsi="宋体" w:cs="宋体"/>
                <w:bCs/>
                <w:sz w:val="20"/>
              </w:rPr>
              <w:t>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72" w:type="dxa"/>
            <w:noWrap w:val="0"/>
            <w:vAlign w:val="center"/>
          </w:tcPr>
          <w:p>
            <w:pPr>
              <w:jc w:val="center"/>
              <w:rPr>
                <w:rFonts w:ascii="宋体" w:hAnsi="宋体" w:cs="宋体"/>
                <w:bCs/>
                <w:sz w:val="20"/>
              </w:rPr>
            </w:pPr>
          </w:p>
          <w:p>
            <w:pPr>
              <w:jc w:val="center"/>
              <w:rPr>
                <w:rFonts w:ascii="宋体" w:hAnsi="宋体" w:cs="宋体"/>
                <w:bCs/>
                <w:sz w:val="20"/>
              </w:rPr>
            </w:pPr>
            <w:r>
              <w:rPr>
                <w:rFonts w:hint="eastAsia" w:ascii="宋体" w:hAnsi="宋体" w:cs="宋体"/>
                <w:bCs/>
                <w:sz w:val="20"/>
              </w:rPr>
              <w:t>3</w:t>
            </w:r>
          </w:p>
        </w:tc>
        <w:tc>
          <w:tcPr>
            <w:tcW w:w="1467" w:type="dxa"/>
            <w:noWrap w:val="0"/>
            <w:vAlign w:val="center"/>
          </w:tcPr>
          <w:p>
            <w:pPr>
              <w:jc w:val="center"/>
              <w:rPr>
                <w:rFonts w:ascii="宋体" w:hAnsi="宋体" w:cs="宋体"/>
                <w:bCs/>
                <w:sz w:val="20"/>
              </w:rPr>
            </w:pPr>
            <w:r>
              <w:rPr>
                <w:rFonts w:hint="eastAsia" w:ascii="宋体" w:hAnsi="宋体" w:cs="宋体"/>
                <w:bCs/>
                <w:sz w:val="20"/>
              </w:rPr>
              <w:t>评估机构及评估师资质</w:t>
            </w:r>
          </w:p>
        </w:tc>
        <w:tc>
          <w:tcPr>
            <w:tcW w:w="6381" w:type="dxa"/>
            <w:gridSpan w:val="5"/>
            <w:noWrap w:val="0"/>
            <w:vAlign w:val="center"/>
          </w:tcPr>
          <w:p>
            <w:pPr>
              <w:rPr>
                <w:rFonts w:hint="default" w:ascii="宋体" w:hAnsi="宋体" w:eastAsia="宋体" w:cs="宋体"/>
                <w:bCs/>
                <w:sz w:val="20"/>
                <w:lang w:val="en-US" w:eastAsia="zh-CN"/>
              </w:rPr>
            </w:pPr>
            <w:r>
              <w:rPr>
                <w:rFonts w:hint="eastAsia" w:ascii="宋体" w:hAnsi="宋体" w:cs="宋体"/>
                <w:bCs/>
                <w:sz w:val="20"/>
                <w:lang w:val="en-US" w:eastAsia="zh-CN"/>
              </w:rPr>
              <w:t>Ray White Sunnybank Hills ，Jonathan Law 4554137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72" w:type="dxa"/>
            <w:noWrap w:val="0"/>
            <w:vAlign w:val="center"/>
          </w:tcPr>
          <w:p>
            <w:pPr>
              <w:jc w:val="center"/>
              <w:rPr>
                <w:rFonts w:ascii="宋体" w:hAnsi="宋体" w:cs="宋体"/>
                <w:bCs/>
                <w:sz w:val="20"/>
              </w:rPr>
            </w:pPr>
            <w:r>
              <w:rPr>
                <w:rFonts w:hint="eastAsia" w:ascii="宋体" w:hAnsi="宋体" w:cs="宋体"/>
                <w:bCs/>
                <w:sz w:val="20"/>
              </w:rPr>
              <w:t>4</w:t>
            </w:r>
          </w:p>
        </w:tc>
        <w:tc>
          <w:tcPr>
            <w:tcW w:w="1467" w:type="dxa"/>
            <w:noWrap w:val="0"/>
            <w:vAlign w:val="center"/>
          </w:tcPr>
          <w:p>
            <w:pPr>
              <w:jc w:val="center"/>
              <w:rPr>
                <w:rFonts w:ascii="宋体" w:hAnsi="宋体" w:cs="宋体"/>
                <w:bCs/>
                <w:sz w:val="20"/>
              </w:rPr>
            </w:pPr>
            <w:r>
              <w:rPr>
                <w:rFonts w:hint="eastAsia" w:ascii="宋体" w:hAnsi="宋体" w:cs="宋体"/>
                <w:bCs/>
                <w:sz w:val="20"/>
              </w:rPr>
              <w:t>评估程序履行及审核情况</w:t>
            </w:r>
          </w:p>
        </w:tc>
        <w:tc>
          <w:tcPr>
            <w:tcW w:w="6381" w:type="dxa"/>
            <w:gridSpan w:val="5"/>
            <w:noWrap w:val="0"/>
            <w:vAlign w:val="center"/>
          </w:tcPr>
          <w:p>
            <w:pPr>
              <w:widowControl/>
              <w:jc w:val="left"/>
              <w:rPr>
                <w:rFonts w:ascii="宋体" w:hAnsi="宋体" w:cs="宋体"/>
                <w:bCs/>
                <w:sz w:val="20"/>
              </w:rPr>
            </w:pPr>
            <w:r>
              <w:rPr>
                <w:rFonts w:hint="eastAsia" w:ascii="宋体" w:hAnsi="宋体" w:cs="宋体"/>
                <w:bCs/>
                <w:sz w:val="20"/>
                <w:lang w:eastAsia="zh-CN"/>
              </w:rPr>
              <w:t>中煤国际投资有限公司</w:t>
            </w:r>
            <w:r>
              <w:rPr>
                <w:rFonts w:hint="eastAsia" w:ascii="宋体" w:hAnsi="宋体" w:cs="宋体"/>
                <w:bCs/>
                <w:sz w:val="20"/>
              </w:rPr>
              <w:t>选聘</w:t>
            </w:r>
            <w:r>
              <w:rPr>
                <w:rFonts w:hint="eastAsia" w:ascii="宋体" w:hAnsi="宋体" w:cs="宋体"/>
                <w:bCs/>
                <w:sz w:val="20"/>
                <w:lang w:val="en-US" w:eastAsia="zh-CN"/>
              </w:rPr>
              <w:t>Ray White Sunnybank Hills</w:t>
            </w:r>
            <w:r>
              <w:rPr>
                <w:rFonts w:hint="eastAsia" w:ascii="宋体" w:hAnsi="宋体" w:cs="宋体"/>
                <w:bCs/>
                <w:sz w:val="20"/>
              </w:rPr>
              <w:t>对其下属</w:t>
            </w:r>
            <w:r>
              <w:rPr>
                <w:rFonts w:hint="eastAsia" w:ascii="宋体" w:hAnsi="宋体" w:cs="宋体"/>
                <w:bCs/>
                <w:sz w:val="20"/>
                <w:lang w:eastAsia="zh-CN"/>
              </w:rPr>
              <w:t>公司澳</w:t>
            </w:r>
            <w:r>
              <w:rPr>
                <w:rFonts w:hint="eastAsia" w:ascii="宋体" w:hAnsi="宋体" w:cs="宋体"/>
                <w:bCs/>
                <w:sz w:val="20"/>
              </w:rPr>
              <w:t>中煤拟</w:t>
            </w:r>
            <w:r>
              <w:rPr>
                <w:rFonts w:hint="eastAsia" w:ascii="宋体" w:hAnsi="宋体" w:cs="宋体"/>
                <w:bCs/>
                <w:sz w:val="20"/>
                <w:lang w:eastAsia="zh-CN"/>
              </w:rPr>
              <w:t>处置布里斯班房产</w:t>
            </w:r>
            <w:r>
              <w:rPr>
                <w:rFonts w:hint="eastAsia" w:ascii="宋体" w:hAnsi="宋体" w:cs="宋体"/>
                <w:bCs/>
                <w:sz w:val="20"/>
              </w:rPr>
              <w:t>开展评估工作，</w:t>
            </w:r>
            <w:r>
              <w:rPr>
                <w:rFonts w:hint="eastAsia" w:ascii="宋体" w:hAnsi="宋体" w:cs="宋体"/>
                <w:bCs/>
                <w:sz w:val="20"/>
                <w:lang w:eastAsia="zh-CN"/>
              </w:rPr>
              <w:t>并对评估报告进行了初步复核后报</w:t>
            </w:r>
            <w:r>
              <w:rPr>
                <w:rFonts w:hint="eastAsia" w:ascii="宋体" w:hAnsi="宋体" w:cs="宋体"/>
                <w:bCs/>
                <w:sz w:val="20"/>
                <w:lang w:val="en-US" w:eastAsia="zh-CN"/>
              </w:rPr>
              <w:t>中国煤炭地质总局进行复核</w:t>
            </w:r>
            <w:r>
              <w:rPr>
                <w:rFonts w:hint="eastAsia" w:ascii="宋体" w:hAnsi="宋体" w:cs="宋体"/>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4" w:hRule="atLeast"/>
        </w:trPr>
        <w:tc>
          <w:tcPr>
            <w:tcW w:w="672" w:type="dxa"/>
            <w:noWrap w:val="0"/>
            <w:vAlign w:val="center"/>
          </w:tcPr>
          <w:p>
            <w:pPr>
              <w:jc w:val="center"/>
              <w:rPr>
                <w:rFonts w:ascii="宋体" w:hAnsi="宋体" w:cs="宋体"/>
                <w:bCs/>
                <w:sz w:val="20"/>
              </w:rPr>
            </w:pPr>
            <w:r>
              <w:rPr>
                <w:rFonts w:hint="eastAsia" w:ascii="宋体" w:hAnsi="宋体" w:cs="宋体"/>
                <w:bCs/>
                <w:sz w:val="20"/>
              </w:rPr>
              <w:t>5</w:t>
            </w:r>
          </w:p>
        </w:tc>
        <w:tc>
          <w:tcPr>
            <w:tcW w:w="1467" w:type="dxa"/>
            <w:noWrap w:val="0"/>
            <w:vAlign w:val="center"/>
          </w:tcPr>
          <w:p>
            <w:pPr>
              <w:jc w:val="center"/>
              <w:rPr>
                <w:rFonts w:ascii="宋体" w:hAnsi="宋体" w:cs="宋体"/>
                <w:bCs/>
                <w:sz w:val="20"/>
              </w:rPr>
            </w:pPr>
            <w:r>
              <w:rPr>
                <w:rFonts w:hint="eastAsia" w:ascii="宋体" w:hAnsi="宋体" w:cs="宋体"/>
                <w:bCs/>
                <w:sz w:val="20"/>
              </w:rPr>
              <w:t>评估报告摘要和特别事项说明</w:t>
            </w:r>
          </w:p>
        </w:tc>
        <w:tc>
          <w:tcPr>
            <w:tcW w:w="6381" w:type="dxa"/>
            <w:gridSpan w:val="5"/>
            <w:noWrap w:val="0"/>
            <w:vAlign w:val="center"/>
          </w:tcPr>
          <w:p>
            <w:pPr>
              <w:widowControl/>
              <w:jc w:val="left"/>
              <w:rPr>
                <w:rFonts w:hint="eastAsia" w:ascii="宋体" w:hAnsi="宋体" w:eastAsia="宋体" w:cs="宋体"/>
                <w:bCs/>
                <w:sz w:val="20"/>
                <w:lang w:eastAsia="zh-CN"/>
              </w:rPr>
            </w:pPr>
            <w:r>
              <w:rPr>
                <w:rFonts w:hint="eastAsia" w:ascii="宋体" w:hAnsi="宋体" w:cs="宋体"/>
                <w:bCs/>
                <w:sz w:val="20"/>
              </w:rPr>
              <w:t>评估报告摘要</w:t>
            </w:r>
            <w:r>
              <w:rPr>
                <w:rFonts w:hint="eastAsia" w:ascii="宋体" w:hAnsi="宋体" w:cs="宋体"/>
                <w:bCs/>
                <w:sz w:val="20"/>
                <w:lang w:eastAsia="zh-CN"/>
              </w:rPr>
              <w:t>：</w:t>
            </w:r>
            <w:r>
              <w:rPr>
                <w:rFonts w:hint="eastAsia" w:ascii="宋体" w:hAnsi="宋体" w:cs="宋体"/>
                <w:bCs/>
                <w:sz w:val="20"/>
                <w:lang w:val="en-US" w:eastAsia="zh-CN"/>
              </w:rPr>
              <w:t>Ray White Sunnybank Hills</w:t>
            </w:r>
            <w:r>
              <w:rPr>
                <w:rFonts w:hint="eastAsia" w:ascii="宋体" w:hAnsi="宋体" w:cs="宋体"/>
                <w:bCs/>
                <w:sz w:val="20"/>
                <w:lang w:eastAsia="zh-CN"/>
              </w:rPr>
              <w:t>接受委托，根据拟处置房产基本情况、所处位置、周边环境、周边房产成交价格、近期价格近期价格走势，结合房屋自身维护状态，对所涉及的澳中煤位于</w:t>
            </w:r>
            <w:r>
              <w:rPr>
                <w:rFonts w:hint="eastAsia" w:ascii="宋体" w:hAnsi="宋体" w:cs="宋体"/>
                <w:bCs/>
                <w:sz w:val="20"/>
                <w:lang w:val="en-US" w:eastAsia="zh-CN"/>
              </w:rPr>
              <w:t>54 ELLENDALE CCT EIGHT MILE PLAINS QLD 4113的房产，</w:t>
            </w:r>
            <w:r>
              <w:rPr>
                <w:rFonts w:hint="eastAsia" w:ascii="宋体" w:hAnsi="宋体" w:cs="宋体"/>
                <w:bCs/>
                <w:sz w:val="20"/>
                <w:lang w:eastAsia="zh-CN"/>
              </w:rPr>
              <w:t>评估基准日2021年</w:t>
            </w:r>
            <w:r>
              <w:rPr>
                <w:rFonts w:hint="eastAsia" w:ascii="宋体" w:hAnsi="宋体" w:cs="宋体"/>
                <w:bCs/>
                <w:sz w:val="20"/>
                <w:lang w:val="en-US" w:eastAsia="zh-CN"/>
              </w:rPr>
              <w:t>9</w:t>
            </w:r>
            <w:r>
              <w:rPr>
                <w:rFonts w:hint="eastAsia" w:ascii="宋体" w:hAnsi="宋体" w:cs="宋体"/>
                <w:bCs/>
                <w:sz w:val="20"/>
                <w:lang w:eastAsia="zh-CN"/>
              </w:rPr>
              <w:t>月3</w:t>
            </w:r>
            <w:r>
              <w:rPr>
                <w:rFonts w:hint="eastAsia" w:ascii="宋体" w:hAnsi="宋体" w:cs="宋体"/>
                <w:bCs/>
                <w:sz w:val="20"/>
                <w:lang w:val="en-US" w:eastAsia="zh-CN"/>
              </w:rPr>
              <w:t>0</w:t>
            </w:r>
            <w:r>
              <w:rPr>
                <w:rFonts w:hint="eastAsia" w:ascii="宋体" w:hAnsi="宋体" w:cs="宋体"/>
                <w:bCs/>
                <w:sz w:val="20"/>
                <w:lang w:eastAsia="zh-CN"/>
              </w:rPr>
              <w:t>日的市场价值进行了评估</w:t>
            </w:r>
            <w:r>
              <w:rPr>
                <w:rFonts w:ascii="宋体" w:hAnsi="宋体" w:cs="宋体"/>
                <w:bCs/>
                <w:sz w:val="20"/>
              </w:rPr>
              <w:t>。</w:t>
            </w:r>
            <w:r>
              <w:rPr>
                <w:rFonts w:hint="eastAsia" w:ascii="宋体" w:hAnsi="宋体" w:cs="宋体"/>
                <w:bCs/>
                <w:sz w:val="20"/>
              </w:rPr>
              <w:t>评估对象是</w:t>
            </w:r>
            <w:r>
              <w:rPr>
                <w:rFonts w:hint="eastAsia" w:ascii="宋体" w:hAnsi="宋体" w:cs="宋体"/>
                <w:bCs/>
                <w:sz w:val="20"/>
                <w:lang w:eastAsia="zh-CN"/>
              </w:rPr>
              <w:t>中煤国际投资有限公司</w:t>
            </w:r>
            <w:r>
              <w:rPr>
                <w:rFonts w:hint="eastAsia" w:ascii="宋体" w:hAnsi="宋体" w:cs="宋体"/>
                <w:bCs/>
                <w:sz w:val="20"/>
              </w:rPr>
              <w:t>其下属部门</w:t>
            </w:r>
            <w:r>
              <w:rPr>
                <w:rFonts w:hint="eastAsia" w:ascii="宋体" w:hAnsi="宋体" w:cs="宋体"/>
                <w:bCs/>
                <w:sz w:val="20"/>
                <w:lang w:eastAsia="zh-CN"/>
              </w:rPr>
              <w:t>澳大利亚中煤地质工程有限责任公司位于澳大利亚布里斯班的</w:t>
            </w:r>
            <w:r>
              <w:rPr>
                <w:rFonts w:hint="eastAsia" w:ascii="宋体" w:hAnsi="宋体" w:cs="宋体"/>
                <w:bCs/>
                <w:sz w:val="20"/>
              </w:rPr>
              <w:t>资产</w:t>
            </w:r>
            <w:r>
              <w:rPr>
                <w:rFonts w:hint="eastAsia" w:ascii="宋体" w:hAnsi="宋体" w:cs="宋体"/>
                <w:bCs/>
                <w:sz w:val="20"/>
                <w:lang w:eastAsia="zh-CN"/>
              </w:rPr>
              <w:t>，该房产账面价值</w:t>
            </w:r>
            <w:r>
              <w:rPr>
                <w:rFonts w:hint="eastAsia" w:ascii="宋体" w:hAnsi="宋体" w:cs="宋体"/>
                <w:bCs/>
                <w:sz w:val="20"/>
                <w:lang w:val="en-US" w:eastAsia="zh-CN"/>
              </w:rPr>
              <w:t>90.57万澳币，其中：</w:t>
            </w:r>
            <w:r>
              <w:rPr>
                <w:rFonts w:hint="eastAsia" w:ascii="宋体" w:hAnsi="宋体" w:cs="宋体"/>
                <w:bCs/>
                <w:sz w:val="20"/>
                <w:lang w:eastAsia="zh-CN"/>
              </w:rPr>
              <w:t>购买价</w:t>
            </w:r>
            <w:r>
              <w:rPr>
                <w:rFonts w:hint="eastAsia" w:ascii="宋体" w:hAnsi="宋体" w:cs="宋体"/>
                <w:bCs/>
                <w:sz w:val="20"/>
                <w:lang w:val="en-US" w:eastAsia="zh-CN"/>
              </w:rPr>
              <w:t>87万澳币，税费3.57万澳币。</w:t>
            </w:r>
            <w:r>
              <w:rPr>
                <w:rFonts w:hint="eastAsia" w:ascii="宋体" w:hAnsi="宋体" w:cs="宋体"/>
                <w:bCs/>
                <w:sz w:val="20"/>
              </w:rPr>
              <w:t>本次评估的</w:t>
            </w:r>
            <w:r>
              <w:rPr>
                <w:rFonts w:hint="eastAsia" w:ascii="宋体" w:hAnsi="宋体" w:cs="宋体"/>
                <w:bCs/>
                <w:sz w:val="20"/>
                <w:lang w:eastAsia="zh-CN"/>
              </w:rPr>
              <w:t>房产价值为</w:t>
            </w:r>
            <w:r>
              <w:rPr>
                <w:rFonts w:hint="eastAsia" w:ascii="宋体" w:hAnsi="宋体" w:cs="宋体"/>
                <w:bCs/>
                <w:sz w:val="20"/>
                <w:lang w:val="en-US" w:eastAsia="zh-CN"/>
              </w:rPr>
              <w:t>95</w:t>
            </w:r>
            <w:r>
              <w:rPr>
                <w:rFonts w:hint="eastAsia" w:ascii="宋体" w:hAnsi="宋体" w:cs="宋体"/>
                <w:bCs/>
                <w:sz w:val="20"/>
              </w:rPr>
              <w:t>万</w:t>
            </w:r>
            <w:r>
              <w:rPr>
                <w:rFonts w:hint="eastAsia" w:ascii="宋体" w:hAnsi="宋体" w:cs="宋体"/>
                <w:bCs/>
                <w:sz w:val="20"/>
                <w:lang w:val="en-US" w:eastAsia="zh-CN"/>
              </w:rPr>
              <w:t>-105万</w:t>
            </w:r>
            <w:r>
              <w:rPr>
                <w:rFonts w:hint="eastAsia" w:ascii="宋体" w:hAnsi="宋体" w:cs="宋体"/>
                <w:bCs/>
                <w:sz w:val="20"/>
                <w:lang w:eastAsia="zh-CN"/>
              </w:rPr>
              <w:t>澳币（不含税）。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2"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467" w:type="dxa"/>
            <w:vMerge w:val="restart"/>
            <w:noWrap w:val="0"/>
            <w:vAlign w:val="center"/>
          </w:tcPr>
          <w:p>
            <w:pPr>
              <w:jc w:val="center"/>
              <w:rPr>
                <w:rFonts w:ascii="宋体" w:hAnsi="宋体" w:cs="宋体"/>
                <w:bCs/>
                <w:sz w:val="20"/>
              </w:rPr>
            </w:pPr>
            <w:r>
              <w:rPr>
                <w:rFonts w:hint="eastAsia" w:ascii="宋体" w:hAnsi="宋体" w:cs="宋体"/>
                <w:bCs/>
                <w:sz w:val="20"/>
              </w:rPr>
              <w:t>评估结果汇总表</w:t>
            </w:r>
          </w:p>
          <w:p>
            <w:pPr>
              <w:jc w:val="center"/>
              <w:rPr>
                <w:rFonts w:ascii="宋体" w:hAnsi="宋体" w:cs="宋体"/>
                <w:bCs/>
                <w:sz w:val="20"/>
              </w:rPr>
            </w:pPr>
            <w:r>
              <w:rPr>
                <w:rFonts w:hint="eastAsia" w:ascii="宋体" w:hAnsi="宋体" w:cs="宋体"/>
                <w:bCs/>
                <w:sz w:val="20"/>
              </w:rPr>
              <w:t>（单位：万</w:t>
            </w:r>
            <w:r>
              <w:rPr>
                <w:rFonts w:hint="eastAsia" w:ascii="宋体" w:hAnsi="宋体" w:cs="宋体"/>
                <w:bCs/>
                <w:sz w:val="20"/>
                <w:lang w:eastAsia="zh-CN"/>
              </w:rPr>
              <w:t>澳大利亚</w:t>
            </w:r>
            <w:r>
              <w:rPr>
                <w:rFonts w:hint="eastAsia" w:ascii="宋体" w:hAnsi="宋体" w:cs="宋体"/>
                <w:bCs/>
                <w:sz w:val="20"/>
              </w:rPr>
              <w:t>元）</w:t>
            </w:r>
          </w:p>
        </w:tc>
        <w:tc>
          <w:tcPr>
            <w:tcW w:w="1140" w:type="dxa"/>
            <w:noWrap w:val="0"/>
            <w:vAlign w:val="center"/>
          </w:tcPr>
          <w:p>
            <w:pPr>
              <w:jc w:val="center"/>
              <w:rPr>
                <w:rFonts w:ascii="宋体" w:hAnsi="宋体" w:cs="宋体"/>
                <w:bCs/>
                <w:sz w:val="20"/>
              </w:rPr>
            </w:pPr>
            <w:r>
              <w:rPr>
                <w:rFonts w:hint="eastAsia" w:ascii="宋体" w:hAnsi="宋体" w:cs="宋体"/>
                <w:bCs/>
                <w:sz w:val="20"/>
              </w:rPr>
              <w:t>项  目</w:t>
            </w:r>
          </w:p>
        </w:tc>
        <w:tc>
          <w:tcPr>
            <w:tcW w:w="1260" w:type="dxa"/>
            <w:noWrap w:val="0"/>
            <w:vAlign w:val="center"/>
          </w:tcPr>
          <w:p>
            <w:pPr>
              <w:jc w:val="center"/>
              <w:rPr>
                <w:rFonts w:hint="eastAsia" w:ascii="宋体" w:hAnsi="宋体" w:eastAsia="宋体" w:cs="宋体"/>
                <w:bCs/>
                <w:sz w:val="20"/>
                <w:lang w:eastAsia="zh-CN"/>
              </w:rPr>
            </w:pPr>
            <w:r>
              <w:rPr>
                <w:rFonts w:hint="eastAsia" w:ascii="宋体" w:hAnsi="宋体" w:cs="宋体"/>
                <w:bCs/>
                <w:sz w:val="20"/>
                <w:lang w:eastAsia="zh-CN"/>
              </w:rPr>
              <w:t>账面价值（不含税）</w:t>
            </w:r>
          </w:p>
        </w:tc>
        <w:tc>
          <w:tcPr>
            <w:tcW w:w="1785" w:type="dxa"/>
            <w:noWrap w:val="0"/>
            <w:vAlign w:val="center"/>
          </w:tcPr>
          <w:p>
            <w:pPr>
              <w:jc w:val="center"/>
              <w:rPr>
                <w:rFonts w:hint="eastAsia" w:ascii="宋体" w:hAnsi="宋体" w:eastAsia="宋体" w:cs="宋体"/>
                <w:bCs/>
                <w:sz w:val="20"/>
                <w:lang w:eastAsia="zh-CN"/>
              </w:rPr>
            </w:pPr>
            <w:r>
              <w:rPr>
                <w:rFonts w:hint="eastAsia" w:ascii="宋体" w:hAnsi="宋体" w:cs="宋体"/>
                <w:bCs/>
                <w:sz w:val="20"/>
                <w:szCs w:val="20"/>
              </w:rPr>
              <w:t>评估值</w:t>
            </w:r>
            <w:r>
              <w:rPr>
                <w:rFonts w:hint="eastAsia" w:ascii="宋体" w:hAnsi="宋体" w:cs="宋体"/>
                <w:bCs/>
                <w:sz w:val="20"/>
                <w:szCs w:val="20"/>
                <w:lang w:eastAsia="zh-CN"/>
              </w:rPr>
              <w:t>（不</w:t>
            </w:r>
            <w:r>
              <w:rPr>
                <w:rFonts w:hint="eastAsia" w:ascii="宋体" w:hAnsi="宋体" w:cs="宋体"/>
                <w:bCs/>
                <w:sz w:val="20"/>
                <w:szCs w:val="20"/>
                <w:lang w:val="en-US" w:eastAsia="zh-CN"/>
              </w:rPr>
              <w:t>含税</w:t>
            </w:r>
            <w:r>
              <w:rPr>
                <w:rFonts w:hint="eastAsia" w:ascii="宋体" w:hAnsi="宋体" w:cs="宋体"/>
                <w:bCs/>
                <w:sz w:val="20"/>
                <w:szCs w:val="20"/>
                <w:lang w:eastAsia="zh-CN"/>
              </w:rPr>
              <w:t>）</w:t>
            </w:r>
          </w:p>
        </w:tc>
        <w:tc>
          <w:tcPr>
            <w:tcW w:w="990" w:type="dxa"/>
            <w:noWrap w:val="0"/>
            <w:vAlign w:val="center"/>
          </w:tcPr>
          <w:p>
            <w:pPr>
              <w:jc w:val="center"/>
              <w:rPr>
                <w:rFonts w:ascii="宋体" w:hAnsi="宋体" w:cs="宋体"/>
                <w:bCs/>
                <w:sz w:val="20"/>
              </w:rPr>
            </w:pPr>
            <w:r>
              <w:rPr>
                <w:rFonts w:hint="eastAsia" w:ascii="宋体" w:hAnsi="宋体" w:cs="宋体"/>
                <w:bCs/>
                <w:sz w:val="20"/>
              </w:rPr>
              <w:t>增值额</w:t>
            </w:r>
          </w:p>
        </w:tc>
        <w:tc>
          <w:tcPr>
            <w:tcW w:w="1206" w:type="dxa"/>
            <w:noWrap w:val="0"/>
            <w:vAlign w:val="center"/>
          </w:tcPr>
          <w:p>
            <w:pPr>
              <w:jc w:val="center"/>
              <w:rPr>
                <w:rFonts w:ascii="宋体" w:hAnsi="宋体" w:cs="宋体"/>
                <w:bCs/>
                <w:sz w:val="20"/>
              </w:rPr>
            </w:pPr>
            <w:r>
              <w:rPr>
                <w:rFonts w:hint="eastAsia" w:ascii="宋体" w:hAnsi="宋体" w:cs="宋体"/>
                <w:bCs/>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140" w:type="dxa"/>
            <w:noWrap w:val="0"/>
            <w:vAlign w:val="center"/>
          </w:tcPr>
          <w:p>
            <w:pPr>
              <w:jc w:val="center"/>
              <w:rPr>
                <w:rFonts w:ascii="宋体" w:hAnsi="宋体" w:cs="宋体"/>
                <w:bCs/>
                <w:sz w:val="20"/>
              </w:rPr>
            </w:pPr>
          </w:p>
        </w:tc>
        <w:tc>
          <w:tcPr>
            <w:tcW w:w="1260" w:type="dxa"/>
            <w:noWrap w:val="0"/>
            <w:vAlign w:val="top"/>
          </w:tcPr>
          <w:p>
            <w:pPr>
              <w:jc w:val="center"/>
              <w:rPr>
                <w:rFonts w:hint="default" w:ascii="宋体" w:hAnsi="宋体" w:cs="宋体"/>
                <w:bCs/>
                <w:sz w:val="20"/>
                <w:lang w:val="en-US" w:eastAsia="zh-CN"/>
              </w:rPr>
            </w:pPr>
          </w:p>
        </w:tc>
        <w:tc>
          <w:tcPr>
            <w:tcW w:w="1785" w:type="dxa"/>
            <w:noWrap w:val="0"/>
            <w:vAlign w:val="top"/>
          </w:tcPr>
          <w:p>
            <w:pPr>
              <w:jc w:val="center"/>
              <w:rPr>
                <w:rFonts w:hint="default" w:ascii="宋体" w:hAnsi="宋体" w:cs="宋体"/>
                <w:bCs/>
                <w:sz w:val="20"/>
                <w:lang w:val="en-US" w:eastAsia="zh-CN"/>
              </w:rPr>
            </w:pPr>
          </w:p>
        </w:tc>
        <w:tc>
          <w:tcPr>
            <w:tcW w:w="990" w:type="dxa"/>
            <w:noWrap w:val="0"/>
            <w:vAlign w:val="top"/>
          </w:tcPr>
          <w:p>
            <w:pPr>
              <w:jc w:val="center"/>
              <w:rPr>
                <w:rFonts w:hint="default" w:ascii="宋体" w:hAnsi="宋体" w:cs="宋体"/>
                <w:bCs/>
                <w:sz w:val="20"/>
                <w:lang w:val="en-US" w:eastAsia="zh-CN"/>
              </w:rPr>
            </w:pPr>
          </w:p>
        </w:tc>
        <w:tc>
          <w:tcPr>
            <w:tcW w:w="1206" w:type="dxa"/>
            <w:noWrap w:val="0"/>
            <w:vAlign w:val="top"/>
          </w:tcPr>
          <w:p>
            <w:pPr>
              <w:jc w:val="center"/>
              <w:rPr>
                <w:rFonts w:hint="default" w:ascii="宋体" w:hAnsi="宋体" w:cs="宋体"/>
                <w:bCs/>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140" w:type="dxa"/>
            <w:noWrap w:val="0"/>
            <w:vAlign w:val="center"/>
          </w:tcPr>
          <w:p>
            <w:pPr>
              <w:jc w:val="center"/>
              <w:rPr>
                <w:rFonts w:hint="default" w:ascii="宋体" w:hAnsi="宋体" w:eastAsia="宋体" w:cs="宋体"/>
                <w:bCs/>
                <w:sz w:val="20"/>
                <w:lang w:val="en-US" w:eastAsia="zh-CN"/>
              </w:rPr>
            </w:pPr>
            <w:r>
              <w:rPr>
                <w:rFonts w:hint="eastAsia"/>
                <w:sz w:val="20"/>
                <w:szCs w:val="20"/>
              </w:rPr>
              <w:t>固定资产</w:t>
            </w:r>
          </w:p>
        </w:tc>
        <w:tc>
          <w:tcPr>
            <w:tcW w:w="1260" w:type="dxa"/>
            <w:noWrap w:val="0"/>
            <w:vAlign w:val="center"/>
          </w:tcPr>
          <w:p>
            <w:pPr>
              <w:jc w:val="center"/>
              <w:rPr>
                <w:rFonts w:hint="default"/>
                <w:sz w:val="20"/>
                <w:szCs w:val="20"/>
                <w:lang w:val="en-US" w:eastAsia="zh-CN"/>
              </w:rPr>
            </w:pPr>
            <w:r>
              <w:rPr>
                <w:rFonts w:hint="eastAsia"/>
                <w:sz w:val="20"/>
                <w:szCs w:val="20"/>
                <w:lang w:val="en-US" w:eastAsia="zh-CN"/>
              </w:rPr>
              <w:t>87</w:t>
            </w:r>
          </w:p>
        </w:tc>
        <w:tc>
          <w:tcPr>
            <w:tcW w:w="1785" w:type="dxa"/>
            <w:noWrap w:val="0"/>
            <w:vAlign w:val="center"/>
          </w:tcPr>
          <w:p>
            <w:pPr>
              <w:jc w:val="center"/>
              <w:rPr>
                <w:rFonts w:hint="default"/>
                <w:sz w:val="20"/>
                <w:szCs w:val="20"/>
                <w:lang w:val="en-US" w:eastAsia="zh-CN"/>
              </w:rPr>
            </w:pPr>
            <w:r>
              <w:rPr>
                <w:rFonts w:hint="eastAsia"/>
                <w:sz w:val="20"/>
                <w:szCs w:val="20"/>
                <w:lang w:val="en-US" w:eastAsia="zh-CN"/>
              </w:rPr>
              <w:t>100</w:t>
            </w:r>
          </w:p>
        </w:tc>
        <w:tc>
          <w:tcPr>
            <w:tcW w:w="990" w:type="dxa"/>
            <w:noWrap w:val="0"/>
            <w:vAlign w:val="center"/>
          </w:tcPr>
          <w:p>
            <w:pPr>
              <w:jc w:val="center"/>
              <w:rPr>
                <w:rFonts w:hint="default"/>
                <w:sz w:val="20"/>
                <w:szCs w:val="20"/>
                <w:lang w:val="en-US" w:eastAsia="zh-CN"/>
              </w:rPr>
            </w:pPr>
            <w:r>
              <w:rPr>
                <w:rFonts w:hint="eastAsia"/>
                <w:sz w:val="20"/>
                <w:szCs w:val="20"/>
                <w:lang w:val="en-US" w:eastAsia="zh-CN"/>
              </w:rPr>
              <w:t>13</w:t>
            </w:r>
          </w:p>
        </w:tc>
        <w:tc>
          <w:tcPr>
            <w:tcW w:w="1206" w:type="dxa"/>
            <w:noWrap w:val="0"/>
            <w:vAlign w:val="center"/>
          </w:tcPr>
          <w:p>
            <w:pPr>
              <w:jc w:val="center"/>
              <w:rPr>
                <w:rFonts w:hint="default"/>
                <w:sz w:val="20"/>
                <w:szCs w:val="20"/>
                <w:lang w:val="en-US" w:eastAsia="zh-CN"/>
              </w:rPr>
            </w:pPr>
            <w:r>
              <w:rPr>
                <w:rFonts w:hint="eastAsia"/>
                <w:sz w:val="20"/>
                <w:szCs w:val="20"/>
                <w:lang w:val="en-US" w:eastAsia="zh-CN"/>
              </w:rPr>
              <w:t>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140" w:type="dxa"/>
            <w:noWrap w:val="0"/>
            <w:vAlign w:val="center"/>
          </w:tcPr>
          <w:p>
            <w:pPr>
              <w:jc w:val="center"/>
              <w:outlineLvl w:val="0"/>
              <w:rPr>
                <w:rFonts w:hint="default" w:ascii="宋体" w:hAnsi="宋体" w:cs="宋体"/>
                <w:bCs/>
                <w:sz w:val="20"/>
                <w:lang w:val="en-US" w:eastAsia="zh-CN"/>
              </w:rPr>
            </w:pPr>
          </w:p>
        </w:tc>
        <w:tc>
          <w:tcPr>
            <w:tcW w:w="1260" w:type="dxa"/>
            <w:noWrap w:val="0"/>
            <w:vAlign w:val="top"/>
          </w:tcPr>
          <w:p>
            <w:pPr>
              <w:jc w:val="center"/>
              <w:rPr>
                <w:rFonts w:hint="eastAsia"/>
                <w:sz w:val="20"/>
                <w:szCs w:val="20"/>
                <w:lang w:val="en-US" w:eastAsia="zh-CN"/>
              </w:rPr>
            </w:pPr>
          </w:p>
        </w:tc>
        <w:tc>
          <w:tcPr>
            <w:tcW w:w="1785" w:type="dxa"/>
            <w:noWrap w:val="0"/>
            <w:vAlign w:val="top"/>
          </w:tcPr>
          <w:p>
            <w:pPr>
              <w:jc w:val="center"/>
              <w:rPr>
                <w:rFonts w:hint="eastAsia"/>
                <w:sz w:val="20"/>
                <w:szCs w:val="20"/>
                <w:lang w:val="en-US" w:eastAsia="zh-CN"/>
              </w:rPr>
            </w:pPr>
          </w:p>
        </w:tc>
        <w:tc>
          <w:tcPr>
            <w:tcW w:w="990" w:type="dxa"/>
            <w:noWrap w:val="0"/>
            <w:vAlign w:val="top"/>
          </w:tcPr>
          <w:p>
            <w:pPr>
              <w:jc w:val="center"/>
              <w:rPr>
                <w:rFonts w:hint="eastAsia"/>
                <w:sz w:val="20"/>
                <w:szCs w:val="20"/>
                <w:lang w:val="en-US" w:eastAsia="zh-CN"/>
              </w:rPr>
            </w:pPr>
          </w:p>
        </w:tc>
        <w:tc>
          <w:tcPr>
            <w:tcW w:w="1206" w:type="dxa"/>
            <w:noWrap w:val="0"/>
            <w:vAlign w:val="top"/>
          </w:tcPr>
          <w:p>
            <w:pPr>
              <w:jc w:val="center"/>
              <w:rPr>
                <w:rFonts w:hint="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140" w:type="dxa"/>
            <w:noWrap w:val="0"/>
            <w:vAlign w:val="center"/>
          </w:tcPr>
          <w:p>
            <w:pPr>
              <w:jc w:val="center"/>
              <w:rPr>
                <w:rFonts w:hint="default" w:ascii="宋体" w:hAnsi="宋体" w:eastAsia="宋体" w:cs="宋体"/>
                <w:bCs/>
                <w:sz w:val="20"/>
                <w:lang w:val="en-US" w:eastAsia="zh-CN"/>
              </w:rPr>
            </w:pPr>
            <w:r>
              <w:fldChar w:fldCharType="begin"/>
            </w:r>
            <w:r>
              <w:instrText xml:space="preserve"> HYPERLINK "file:///C:\\Users\\jiaoy\\Desktop\\2019年项目\\19150115B莱特迈思\\报告及说明\\1、资产基础法评估明细表（北京总部）1.8-jiao.xlsx" \l "分类汇总!B62" </w:instrText>
            </w:r>
            <w:r>
              <w:fldChar w:fldCharType="separate"/>
            </w:r>
            <w:r>
              <w:rPr>
                <w:rStyle w:val="3"/>
                <w:rFonts w:hint="eastAsia"/>
                <w:b/>
                <w:bCs/>
                <w:color w:val="auto"/>
                <w:sz w:val="20"/>
                <w:szCs w:val="20"/>
                <w:u w:val="none"/>
              </w:rPr>
              <w:t>资产总计</w:t>
            </w:r>
            <w:r>
              <w:fldChar w:fldCharType="end"/>
            </w:r>
          </w:p>
        </w:tc>
        <w:tc>
          <w:tcPr>
            <w:tcW w:w="1260" w:type="dxa"/>
            <w:noWrap w:val="0"/>
            <w:vAlign w:val="center"/>
          </w:tcPr>
          <w:p>
            <w:pPr>
              <w:jc w:val="center"/>
              <w:rPr>
                <w:rStyle w:val="3"/>
                <w:rFonts w:hint="default"/>
                <w:b/>
                <w:bCs/>
                <w:color w:val="auto"/>
                <w:sz w:val="20"/>
                <w:szCs w:val="20"/>
                <w:u w:val="none"/>
                <w:lang w:val="en-US" w:eastAsia="zh-CN"/>
              </w:rPr>
            </w:pPr>
            <w:r>
              <w:rPr>
                <w:rStyle w:val="3"/>
                <w:rFonts w:hint="eastAsia"/>
                <w:b/>
                <w:bCs/>
                <w:color w:val="auto"/>
                <w:sz w:val="20"/>
                <w:szCs w:val="20"/>
                <w:u w:val="none"/>
                <w:lang w:val="en-US" w:eastAsia="zh-CN"/>
              </w:rPr>
              <w:t>87</w:t>
            </w:r>
          </w:p>
        </w:tc>
        <w:tc>
          <w:tcPr>
            <w:tcW w:w="1785" w:type="dxa"/>
            <w:noWrap w:val="0"/>
            <w:vAlign w:val="center"/>
          </w:tcPr>
          <w:p>
            <w:pPr>
              <w:jc w:val="center"/>
              <w:rPr>
                <w:rStyle w:val="3"/>
                <w:rFonts w:hint="default"/>
                <w:b/>
                <w:bCs/>
                <w:color w:val="auto"/>
                <w:sz w:val="20"/>
                <w:szCs w:val="20"/>
                <w:u w:val="none"/>
                <w:lang w:val="en-US" w:eastAsia="zh-CN"/>
              </w:rPr>
            </w:pPr>
            <w:r>
              <w:rPr>
                <w:rStyle w:val="3"/>
                <w:rFonts w:hint="eastAsia"/>
                <w:b/>
                <w:bCs/>
                <w:color w:val="auto"/>
                <w:sz w:val="20"/>
                <w:szCs w:val="20"/>
                <w:u w:val="none"/>
                <w:lang w:val="en-US" w:eastAsia="zh-CN"/>
              </w:rPr>
              <w:t>100</w:t>
            </w:r>
          </w:p>
        </w:tc>
        <w:tc>
          <w:tcPr>
            <w:tcW w:w="990" w:type="dxa"/>
            <w:noWrap w:val="0"/>
            <w:vAlign w:val="center"/>
          </w:tcPr>
          <w:p>
            <w:pPr>
              <w:jc w:val="center"/>
              <w:rPr>
                <w:rStyle w:val="3"/>
                <w:rFonts w:hint="default"/>
                <w:b/>
                <w:bCs/>
                <w:color w:val="auto"/>
                <w:sz w:val="20"/>
                <w:szCs w:val="20"/>
                <w:u w:val="none"/>
                <w:lang w:val="en-US" w:eastAsia="zh-CN"/>
              </w:rPr>
            </w:pPr>
            <w:r>
              <w:rPr>
                <w:rStyle w:val="3"/>
                <w:rFonts w:hint="eastAsia"/>
                <w:b/>
                <w:bCs/>
                <w:color w:val="auto"/>
                <w:sz w:val="20"/>
                <w:szCs w:val="20"/>
                <w:u w:val="none"/>
                <w:lang w:val="en-US" w:eastAsia="zh-CN"/>
              </w:rPr>
              <w:t>13</w:t>
            </w:r>
          </w:p>
        </w:tc>
        <w:tc>
          <w:tcPr>
            <w:tcW w:w="1206" w:type="dxa"/>
            <w:noWrap w:val="0"/>
            <w:vAlign w:val="center"/>
          </w:tcPr>
          <w:p>
            <w:pPr>
              <w:jc w:val="center"/>
              <w:rPr>
                <w:rStyle w:val="3"/>
                <w:rFonts w:hint="default"/>
                <w:b/>
                <w:bCs/>
                <w:color w:val="auto"/>
                <w:sz w:val="20"/>
                <w:szCs w:val="20"/>
                <w:u w:val="none"/>
                <w:lang w:val="en-US" w:eastAsia="zh-CN"/>
              </w:rPr>
            </w:pPr>
            <w:r>
              <w:rPr>
                <w:rStyle w:val="3"/>
                <w:rFonts w:hint="eastAsia"/>
                <w:b/>
                <w:bCs/>
                <w:color w:val="auto"/>
                <w:sz w:val="20"/>
                <w:szCs w:val="20"/>
                <w:u w:val="none"/>
                <w:lang w:val="en-US" w:eastAsia="zh-CN"/>
              </w:rPr>
              <w:t>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672" w:type="dxa"/>
            <w:noWrap w:val="0"/>
            <w:vAlign w:val="center"/>
          </w:tcPr>
          <w:p>
            <w:pPr>
              <w:jc w:val="center"/>
              <w:rPr>
                <w:rFonts w:ascii="宋体" w:hAnsi="宋体" w:cs="宋体"/>
                <w:bCs/>
                <w:sz w:val="20"/>
              </w:rPr>
            </w:pPr>
            <w:r>
              <w:rPr>
                <w:rFonts w:hint="eastAsia" w:ascii="宋体" w:hAnsi="宋体" w:cs="宋体"/>
                <w:bCs/>
                <w:sz w:val="20"/>
              </w:rPr>
              <w:t>7</w:t>
            </w:r>
          </w:p>
        </w:tc>
        <w:tc>
          <w:tcPr>
            <w:tcW w:w="1467"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ascii="宋体" w:hAnsi="宋体" w:cs="宋体"/>
                <w:bCs/>
                <w:sz w:val="20"/>
              </w:rPr>
            </w:pPr>
            <w:r>
              <w:rPr>
                <w:rFonts w:hint="eastAsia" w:ascii="宋体" w:hAnsi="宋体" w:cs="宋体"/>
                <w:bCs/>
                <w:sz w:val="20"/>
              </w:rPr>
              <w:t>评估</w:t>
            </w:r>
            <w:r>
              <w:rPr>
                <w:rFonts w:hint="eastAsia" w:ascii="宋体" w:hAnsi="宋体" w:cs="宋体"/>
                <w:bCs/>
                <w:sz w:val="20"/>
                <w:lang w:val="en-US" w:eastAsia="zh-CN"/>
              </w:rPr>
              <w:t>决策依据</w:t>
            </w:r>
            <w:r>
              <w:rPr>
                <w:rFonts w:hint="eastAsia" w:ascii="宋体" w:hAnsi="宋体" w:cs="宋体"/>
                <w:bCs/>
                <w:sz w:val="20"/>
              </w:rPr>
              <w:t>、比选评估机构</w:t>
            </w:r>
            <w:r>
              <w:rPr>
                <w:rFonts w:hint="eastAsia" w:ascii="宋体" w:hAnsi="宋体" w:cs="宋体"/>
                <w:bCs/>
                <w:sz w:val="20"/>
                <w:lang w:val="en-US" w:eastAsia="zh-CN"/>
              </w:rPr>
              <w:t>资料及</w:t>
            </w:r>
            <w:r>
              <w:rPr>
                <w:rFonts w:hint="eastAsia" w:ascii="宋体" w:hAnsi="宋体" w:cs="宋体"/>
                <w:bCs/>
                <w:sz w:val="20"/>
              </w:rPr>
              <w:t>评估报告初稿纸质及电子资料在</w:t>
            </w:r>
            <w:r>
              <w:rPr>
                <w:rFonts w:hint="eastAsia" w:ascii="宋体" w:hAnsi="宋体" w:cs="宋体"/>
                <w:bCs/>
                <w:sz w:val="20"/>
                <w:lang w:val="en-US" w:eastAsia="zh-CN"/>
              </w:rPr>
              <w:t>中国煤炭地质总局资产财务部</w:t>
            </w:r>
            <w:r>
              <w:rPr>
                <w:rFonts w:hint="eastAsia" w:ascii="宋体" w:hAnsi="宋体" w:cs="宋体"/>
                <w:bCs/>
                <w:sz w:val="20"/>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159A2"/>
    <w:rsid w:val="0841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2021-12-15T07:55:00Z</dcterms:created>
  <dc:creator>赵龙</dc:creator>
  <cp:lastModifiedBy>赵龙</cp:lastModifiedBy>
  <dcterms:modified xsi:type="dcterms:W3CDTF">2021-12-15T07:56:09Z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