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28"/>
          <w:szCs w:val="28"/>
        </w:rPr>
      </w:pPr>
      <w:r>
        <w:rPr>
          <w:rFonts w:hint="eastAsia" w:ascii="黑体" w:hAnsi="黑体" w:eastAsia="黑体" w:cs="黑体"/>
          <w:bCs/>
          <w:sz w:val="28"/>
          <w:szCs w:val="28"/>
        </w:rPr>
        <w:t>附件：</w:t>
      </w:r>
    </w:p>
    <w:p>
      <w:pPr>
        <w:jc w:val="center"/>
        <w:rPr>
          <w:rFonts w:hint="eastAsia" w:ascii="宋体" w:hAnsi="宋体" w:cs="宋体"/>
          <w:bCs/>
          <w:sz w:val="20"/>
        </w:rPr>
      </w:pPr>
      <w:r>
        <w:rPr>
          <w:rFonts w:hint="eastAsia" w:ascii="黑体" w:hAnsi="黑体" w:eastAsia="黑体" w:cs="黑体"/>
          <w:bCs/>
          <w:sz w:val="30"/>
          <w:szCs w:val="30"/>
        </w:rPr>
        <w:t>中国煤炭地质总局资产评估项目公示表</w:t>
      </w:r>
    </w:p>
    <w:p>
      <w:pPr>
        <w:rPr>
          <w:rFonts w:hint="eastAsia" w:ascii="宋体" w:hAnsi="宋体" w:cs="宋体"/>
          <w:bCs/>
          <w:sz w:val="20"/>
        </w:rPr>
      </w:pPr>
      <w:r>
        <w:rPr>
          <w:rFonts w:hint="eastAsia" w:ascii="宋体" w:hAnsi="宋体" w:cs="宋体"/>
          <w:bCs/>
          <w:sz w:val="20"/>
        </w:rPr>
        <w:t>评估项目：收购北京鼎瀚恒海生物科技股份有限公司资产评估项目</w:t>
      </w:r>
    </w:p>
    <w:p>
      <w:pPr>
        <w:rPr>
          <w:rFonts w:hint="eastAsia" w:ascii="宋体" w:hAnsi="宋体" w:cs="宋体"/>
          <w:bCs/>
          <w:sz w:val="20"/>
        </w:rPr>
      </w:pPr>
      <w:r>
        <w:rPr>
          <w:rFonts w:hint="eastAsia" w:ascii="宋体" w:hAnsi="宋体" w:cs="宋体"/>
          <w:bCs/>
          <w:sz w:val="20"/>
        </w:rPr>
        <w:t>公示期限：2020年8月10日至2020年8月14日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序号</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hint="eastAsia"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1</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经济行为批准</w:t>
            </w:r>
          </w:p>
          <w:p>
            <w:pPr>
              <w:jc w:val="center"/>
              <w:rPr>
                <w:rFonts w:hint="eastAsia" w:ascii="宋体" w:hAnsi="宋体" w:cs="宋体"/>
                <w:bCs/>
                <w:sz w:val="20"/>
              </w:rPr>
            </w:pPr>
            <w:r>
              <w:rPr>
                <w:rFonts w:hint="eastAsia" w:ascii="宋体" w:hAnsi="宋体" w:cs="宋体"/>
                <w:bCs/>
                <w:sz w:val="20"/>
              </w:rPr>
              <w:t>文件</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《中煤地质集团有限公司关于北京益而康生物工程有限公司收购北京鼎瀚恒海生物科技股份有限公司股权财务审计和资产评估机构的批复》（中煤地地质发〔2020〕69号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2</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评估机构选聘</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地质集团财务管理部拟定比选通知并发放给总局评估机构备选库中具有资产评估资质的评估机构，组建比选小组对评估机构报送的评估方案进行审查，比选出符合要求的评估机构。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hint="eastAsia" w:ascii="宋体" w:hAnsi="宋体" w:cs="宋体"/>
                <w:bCs/>
                <w:sz w:val="20"/>
              </w:rPr>
            </w:pPr>
          </w:p>
          <w:p>
            <w:pPr>
              <w:jc w:val="center"/>
              <w:rPr>
                <w:rFonts w:hint="eastAsia" w:ascii="宋体" w:hAnsi="宋体" w:cs="宋体"/>
                <w:bCs/>
                <w:sz w:val="20"/>
              </w:rPr>
            </w:pPr>
            <w:r>
              <w:rPr>
                <w:rFonts w:hint="eastAsia" w:ascii="宋体" w:hAnsi="宋体" w:cs="宋体"/>
                <w:bCs/>
                <w:sz w:val="20"/>
              </w:rPr>
              <w:t>3</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北京中天和资产评估有限公司：吕萌，11190327；蔡宝泽，11170083。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4</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评估程序履行及独立第三方评估机构审核情况</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地质集团选聘北京中天和资产评估有限公司对北京鼎瀚恒海生物科技股份有限公司开展评估工作，委托北京天健兴业资产评估有限公司对评估报告初稿进行了审核并出具了审核意见，评估公司针对审核意见进行了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5</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北京中天和资产评估有限公司接受地质集团的委托，对北京鼎瀚恒海生物科技股份有限公司于2020年2月29日的市场价格开展评估，为收购行为提供价值参考。估价对象为北京鼎瀚恒海生物科技股份有限公司在基准日的全部股东权益。本次评估的价值类型为市场价值。本项目对委估范围内的全部资产及负债的资料收集完整，结合本次评估目的，采用了资产基础法进行评估。评估过程包括评估前期准备工作阶段、评估现场清查阶段、评估汇总阶段、提交报告阶段。北京中天和资产评估有限公司本着独立、公正、客观的原则，履行了资产评估法定的和必要的程序，得出评估结论如下：北京鼎瀚恒海生物科技股份有限公司总资产账面价值3,157.81万元，评估值4,800.33万元，评估增值1,642.52万元，增值率52.01%；负债账面价值1,168.25万元，评估值1,070.39万元，评估减值97.86万元，减值率8.38%；净资产账面价值1,989.56万元，评估值3,729.94万元，评估增值1,740.38万元，增值率87.48%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hint="eastAsia"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hint="eastAsia" w:ascii="宋体" w:hAnsi="宋体" w:cs="宋体"/>
                <w:bCs/>
                <w:sz w:val="20"/>
              </w:rPr>
            </w:pPr>
            <w:r>
              <w:rPr>
                <w:rFonts w:hint="eastAsia" w:ascii="宋体" w:hAnsi="宋体" w:cs="宋体"/>
                <w:bCs/>
                <w:sz w:val="20"/>
              </w:rPr>
              <w:t>评估结果汇总表</w:t>
            </w:r>
          </w:p>
          <w:p>
            <w:pPr>
              <w:jc w:val="center"/>
              <w:rPr>
                <w:rFonts w:hint="eastAsia"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项  目</w:t>
            </w:r>
          </w:p>
        </w:tc>
        <w:tc>
          <w:tcPr>
            <w:tcW w:w="1210" w:type="dxa"/>
            <w:noWrap w:val="0"/>
            <w:vAlign w:val="center"/>
          </w:tcPr>
          <w:p>
            <w:pPr>
              <w:jc w:val="center"/>
              <w:rPr>
                <w:rFonts w:hint="eastAsia" w:ascii="宋体" w:hAnsi="宋体" w:cs="宋体"/>
                <w:bCs/>
                <w:sz w:val="20"/>
              </w:rPr>
            </w:pPr>
            <w:r>
              <w:rPr>
                <w:rFonts w:hint="eastAsia" w:ascii="宋体" w:hAnsi="宋体" w:cs="宋体"/>
                <w:bCs/>
                <w:sz w:val="20"/>
              </w:rPr>
              <w:t>账面价值</w:t>
            </w:r>
          </w:p>
        </w:tc>
        <w:tc>
          <w:tcPr>
            <w:tcW w:w="1260" w:type="dxa"/>
            <w:noWrap w:val="0"/>
            <w:vAlign w:val="center"/>
          </w:tcPr>
          <w:p>
            <w:pPr>
              <w:jc w:val="center"/>
              <w:rPr>
                <w:rFonts w:hint="eastAsia" w:ascii="宋体" w:hAnsi="宋体" w:cs="宋体"/>
                <w:bCs/>
                <w:sz w:val="20"/>
              </w:rPr>
            </w:pPr>
            <w:r>
              <w:rPr>
                <w:rFonts w:hint="eastAsia" w:ascii="宋体" w:hAnsi="宋体" w:cs="宋体"/>
                <w:bCs/>
                <w:sz w:val="20"/>
              </w:rPr>
              <w:t>评估值</w:t>
            </w:r>
          </w:p>
        </w:tc>
        <w:tc>
          <w:tcPr>
            <w:tcW w:w="1230" w:type="dxa"/>
            <w:noWrap w:val="0"/>
            <w:vAlign w:val="center"/>
          </w:tcPr>
          <w:p>
            <w:pPr>
              <w:jc w:val="center"/>
              <w:rPr>
                <w:rFonts w:hint="eastAsia" w:ascii="宋体" w:hAnsi="宋体" w:cs="宋体"/>
                <w:bCs/>
                <w:sz w:val="20"/>
              </w:rPr>
            </w:pPr>
            <w:r>
              <w:rPr>
                <w:rFonts w:hint="eastAsia" w:ascii="宋体" w:hAnsi="宋体" w:cs="宋体"/>
                <w:bCs/>
                <w:sz w:val="20"/>
              </w:rPr>
              <w:t>增值额</w:t>
            </w:r>
          </w:p>
        </w:tc>
        <w:tc>
          <w:tcPr>
            <w:tcW w:w="1386" w:type="dxa"/>
            <w:noWrap w:val="0"/>
            <w:vAlign w:val="center"/>
          </w:tcPr>
          <w:p>
            <w:pPr>
              <w:jc w:val="center"/>
              <w:rPr>
                <w:rFonts w:hint="eastAsia"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资产总额</w:t>
            </w:r>
          </w:p>
        </w:tc>
        <w:tc>
          <w:tcPr>
            <w:tcW w:w="1210" w:type="dxa"/>
            <w:noWrap w:val="0"/>
            <w:vAlign w:val="center"/>
          </w:tcPr>
          <w:p>
            <w:pPr>
              <w:widowControl/>
              <w:jc w:val="center"/>
              <w:rPr>
                <w:rFonts w:hint="eastAsia" w:ascii="宋体" w:hAnsi="宋体" w:cs="宋体"/>
                <w:bCs/>
                <w:sz w:val="20"/>
              </w:rPr>
            </w:pPr>
            <w:r>
              <w:rPr>
                <w:rFonts w:hint="eastAsia" w:ascii="宋体" w:hAnsi="宋体" w:cs="宋体"/>
                <w:bCs/>
                <w:sz w:val="20"/>
              </w:rPr>
              <w:t>3,157.81</w:t>
            </w:r>
          </w:p>
        </w:tc>
        <w:tc>
          <w:tcPr>
            <w:tcW w:w="1260" w:type="dxa"/>
            <w:noWrap w:val="0"/>
            <w:vAlign w:val="center"/>
          </w:tcPr>
          <w:p>
            <w:pPr>
              <w:widowControl/>
              <w:jc w:val="center"/>
              <w:rPr>
                <w:rFonts w:hint="eastAsia" w:ascii="宋体" w:hAnsi="宋体" w:cs="宋体"/>
                <w:bCs/>
                <w:sz w:val="20"/>
              </w:rPr>
            </w:pPr>
            <w:r>
              <w:rPr>
                <w:rFonts w:hint="eastAsia" w:ascii="宋体" w:hAnsi="宋体" w:cs="宋体"/>
                <w:bCs/>
                <w:sz w:val="20"/>
              </w:rPr>
              <w:t>4,800.33</w:t>
            </w:r>
          </w:p>
        </w:tc>
        <w:tc>
          <w:tcPr>
            <w:tcW w:w="1230" w:type="dxa"/>
            <w:noWrap w:val="0"/>
            <w:vAlign w:val="center"/>
          </w:tcPr>
          <w:p>
            <w:pPr>
              <w:widowControl/>
              <w:jc w:val="center"/>
              <w:rPr>
                <w:rFonts w:hint="eastAsia" w:ascii="宋体" w:hAnsi="宋体" w:cs="宋体"/>
                <w:bCs/>
                <w:sz w:val="20"/>
              </w:rPr>
            </w:pPr>
            <w:r>
              <w:rPr>
                <w:rFonts w:hint="eastAsia" w:ascii="宋体" w:hAnsi="宋体" w:cs="宋体"/>
                <w:bCs/>
                <w:sz w:val="20"/>
              </w:rPr>
              <w:t>1,642.52</w:t>
            </w:r>
          </w:p>
        </w:tc>
        <w:tc>
          <w:tcPr>
            <w:tcW w:w="1386" w:type="dxa"/>
            <w:noWrap w:val="0"/>
            <w:vAlign w:val="center"/>
          </w:tcPr>
          <w:p>
            <w:pPr>
              <w:widowControl/>
              <w:jc w:val="center"/>
              <w:rPr>
                <w:rFonts w:hint="eastAsia" w:ascii="宋体" w:hAnsi="宋体" w:cs="宋体"/>
                <w:bCs/>
                <w:sz w:val="20"/>
              </w:rPr>
            </w:pPr>
            <w:r>
              <w:rPr>
                <w:rFonts w:hint="eastAsia" w:ascii="宋体" w:hAnsi="宋体" w:cs="宋体"/>
                <w:bCs/>
                <w:sz w:val="20"/>
              </w:rPr>
              <w:t>52.01%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负债总额</w:t>
            </w:r>
          </w:p>
        </w:tc>
        <w:tc>
          <w:tcPr>
            <w:tcW w:w="1210" w:type="dxa"/>
            <w:noWrap w:val="0"/>
            <w:vAlign w:val="center"/>
          </w:tcPr>
          <w:p>
            <w:pPr>
              <w:widowControl/>
              <w:jc w:val="center"/>
              <w:rPr>
                <w:rFonts w:hint="eastAsia" w:ascii="宋体" w:hAnsi="宋体" w:cs="宋体"/>
                <w:bCs/>
                <w:sz w:val="20"/>
              </w:rPr>
            </w:pPr>
            <w:r>
              <w:rPr>
                <w:rFonts w:hint="eastAsia" w:ascii="宋体" w:hAnsi="宋体" w:cs="宋体"/>
                <w:bCs/>
                <w:sz w:val="20"/>
              </w:rPr>
              <w:t>1,168.25</w:t>
            </w:r>
          </w:p>
        </w:tc>
        <w:tc>
          <w:tcPr>
            <w:tcW w:w="1260" w:type="dxa"/>
            <w:noWrap w:val="0"/>
            <w:vAlign w:val="center"/>
          </w:tcPr>
          <w:p>
            <w:pPr>
              <w:widowControl/>
              <w:jc w:val="center"/>
              <w:rPr>
                <w:rFonts w:hint="eastAsia" w:ascii="宋体" w:hAnsi="宋体" w:cs="宋体"/>
                <w:bCs/>
                <w:sz w:val="20"/>
              </w:rPr>
            </w:pPr>
            <w:r>
              <w:rPr>
                <w:rFonts w:hint="eastAsia" w:ascii="宋体" w:hAnsi="宋体" w:cs="宋体"/>
                <w:bCs/>
                <w:sz w:val="20"/>
              </w:rPr>
              <w:t>1,070.39</w:t>
            </w:r>
          </w:p>
        </w:tc>
        <w:tc>
          <w:tcPr>
            <w:tcW w:w="1230" w:type="dxa"/>
            <w:noWrap w:val="0"/>
            <w:vAlign w:val="center"/>
          </w:tcPr>
          <w:p>
            <w:pPr>
              <w:jc w:val="center"/>
              <w:rPr>
                <w:rFonts w:hint="eastAsia" w:ascii="宋体" w:hAnsi="宋体" w:cs="宋体"/>
                <w:bCs/>
                <w:sz w:val="20"/>
              </w:rPr>
            </w:pPr>
            <w:r>
              <w:rPr>
                <w:rFonts w:hint="eastAsia" w:ascii="宋体" w:hAnsi="宋体" w:cs="宋体"/>
                <w:bCs/>
                <w:sz w:val="20"/>
              </w:rPr>
              <w:t>-97.86</w:t>
            </w:r>
          </w:p>
        </w:tc>
        <w:tc>
          <w:tcPr>
            <w:tcW w:w="1386" w:type="dxa"/>
            <w:noWrap w:val="0"/>
            <w:vAlign w:val="center"/>
          </w:tcPr>
          <w:p>
            <w:pPr>
              <w:jc w:val="center"/>
              <w:rPr>
                <w:rFonts w:hint="eastAsia" w:ascii="宋体" w:hAnsi="宋体" w:cs="宋体"/>
                <w:bCs/>
                <w:sz w:val="20"/>
              </w:rPr>
            </w:pPr>
            <w:r>
              <w:rPr>
                <w:rFonts w:hint="eastAsia" w:ascii="宋体" w:hAnsi="宋体" w:cs="宋体"/>
                <w:bCs/>
                <w:sz w:val="20"/>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净 资 产</w:t>
            </w:r>
          </w:p>
        </w:tc>
        <w:tc>
          <w:tcPr>
            <w:tcW w:w="1210" w:type="dxa"/>
            <w:noWrap w:val="0"/>
            <w:vAlign w:val="center"/>
          </w:tcPr>
          <w:p>
            <w:pPr>
              <w:widowControl/>
              <w:jc w:val="center"/>
              <w:rPr>
                <w:rFonts w:hint="eastAsia" w:ascii="宋体" w:hAnsi="宋体" w:cs="宋体"/>
                <w:bCs/>
                <w:sz w:val="20"/>
              </w:rPr>
            </w:pPr>
            <w:r>
              <w:rPr>
                <w:rFonts w:hint="eastAsia" w:ascii="宋体" w:hAnsi="宋体" w:cs="宋体"/>
                <w:bCs/>
                <w:sz w:val="20"/>
              </w:rPr>
              <w:t>1.989.56</w:t>
            </w:r>
          </w:p>
        </w:tc>
        <w:tc>
          <w:tcPr>
            <w:tcW w:w="1260" w:type="dxa"/>
            <w:noWrap w:val="0"/>
            <w:vAlign w:val="center"/>
          </w:tcPr>
          <w:p>
            <w:pPr>
              <w:widowControl/>
              <w:jc w:val="center"/>
              <w:rPr>
                <w:rFonts w:hint="eastAsia" w:ascii="宋体" w:hAnsi="宋体" w:cs="宋体"/>
                <w:bCs/>
                <w:sz w:val="20"/>
              </w:rPr>
            </w:pPr>
            <w:r>
              <w:rPr>
                <w:rFonts w:hint="eastAsia" w:ascii="宋体" w:hAnsi="宋体" w:cs="宋体"/>
                <w:bCs/>
                <w:sz w:val="20"/>
              </w:rPr>
              <w:t>3,729.94</w:t>
            </w:r>
          </w:p>
        </w:tc>
        <w:tc>
          <w:tcPr>
            <w:tcW w:w="1230" w:type="dxa"/>
            <w:noWrap w:val="0"/>
            <w:vAlign w:val="center"/>
          </w:tcPr>
          <w:p>
            <w:pPr>
              <w:widowControl/>
              <w:jc w:val="center"/>
              <w:rPr>
                <w:rFonts w:hint="eastAsia" w:ascii="宋体" w:hAnsi="宋体" w:cs="宋体"/>
                <w:bCs/>
                <w:sz w:val="20"/>
              </w:rPr>
            </w:pPr>
            <w:r>
              <w:rPr>
                <w:rFonts w:hint="eastAsia" w:ascii="宋体" w:hAnsi="宋体" w:cs="宋体"/>
                <w:bCs/>
                <w:sz w:val="20"/>
              </w:rPr>
              <w:t>1,740.38</w:t>
            </w:r>
          </w:p>
        </w:tc>
        <w:tc>
          <w:tcPr>
            <w:tcW w:w="1386" w:type="dxa"/>
            <w:noWrap w:val="0"/>
            <w:vAlign w:val="center"/>
          </w:tcPr>
          <w:p>
            <w:pPr>
              <w:widowControl/>
              <w:jc w:val="center"/>
              <w:rPr>
                <w:rFonts w:hint="eastAsia" w:ascii="宋体" w:hAnsi="宋体" w:cs="宋体"/>
                <w:bCs/>
                <w:sz w:val="20"/>
              </w:rPr>
            </w:pPr>
            <w:r>
              <w:rPr>
                <w:rFonts w:hint="eastAsia" w:ascii="宋体" w:hAnsi="宋体" w:cs="宋体"/>
                <w:bCs/>
                <w:sz w:val="20"/>
              </w:rPr>
              <w:t>87.48%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7</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评估资料查阅</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pPr>
        <w:rPr>
          <w:rFonts w:hint="eastAsia" w:ascii="宋体" w:hAnsi="宋体" w:cs="宋体"/>
          <w:bCs/>
          <w:sz w:val="20"/>
        </w:rPr>
      </w:pPr>
      <w:r>
        <w:rPr>
          <w:rFonts w:hint="eastAsia" w:ascii="宋体" w:hAnsi="宋体" w:cs="宋体"/>
          <w:bCs/>
          <w:sz w:val="20"/>
        </w:rPr>
        <w:t>接受反馈意见部门：资产财务部          联系人：夏杰          联系方式：13641397643</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12C3F"/>
    <w:rsid w:val="27E1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2020-08-10T08:55:00Z</dcterms:created>
  <dc:creator>赵龙</dc:creator>
  <cp:lastModifiedBy>赵龙</cp:lastModifiedBy>
  <dcterms:modified xsi:type="dcterms:W3CDTF">2020-08-10T08:56:17Z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